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11" w:type="dxa"/>
        <w:tblLook w:val="04A0" w:firstRow="1" w:lastRow="0" w:firstColumn="1" w:lastColumn="0" w:noHBand="0" w:noVBand="1"/>
      </w:tblPr>
      <w:tblGrid>
        <w:gridCol w:w="746"/>
        <w:gridCol w:w="6544"/>
        <w:gridCol w:w="1800"/>
        <w:gridCol w:w="2160"/>
        <w:gridCol w:w="1961"/>
      </w:tblGrid>
      <w:tr w:rsidR="00906268" w:rsidRPr="00906268" w:rsidTr="00906268">
        <w:trPr>
          <w:trHeight w:val="296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TRƯỜNG ĐẠI HỌC QUẢNG BÌNH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268" w:rsidRPr="00906268" w:rsidTr="00906268">
        <w:trPr>
          <w:trHeight w:val="296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982B0" wp14:editId="1F7792E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181610</wp:posOffset>
                      </wp:positionV>
                      <wp:extent cx="1120140" cy="7620"/>
                      <wp:effectExtent l="0" t="0" r="2286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492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3pt" to="142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yTuAEAALoDAAAOAAAAZHJzL2Uyb0RvYy54bWysU01vGyEQvVfqf0Dc4/1QlFYrr3Nw1Fyq&#10;1mraH0BY8KICgwbqXf/7DtjeRGlVVVEuLAPvzcx7zK5vZ2fZQWE04HverGrOlJcwGL/v+Y/vn64+&#10;chaT8IOw4FXPjyry2837d+spdKqFEeygkFESH7sp9HxMKXRVFeWonIgrCMrTpQZ0IlGI+2pAMVF2&#10;Z6u2rm+qCXAICFLFSKd3p0u+Kfm1VjJ91TqqxGzPqbdUVizrY16rzVp0exRhNPLchnhFF04YT0WX&#10;VHciCfYLzR+pnJEIEXRaSXAVaG2kKhpITVO/UPMwiqCKFjInhsWm+HZp5ZfDDpkZet5y5oWjJ3pI&#10;KMx+TGwL3pOBgKzNPk0hdgTf+h2eoxh2mEXPGl3+khw2F2+Pi7dqTkzSYdOQwGt6Akl3H27aYn31&#10;xA0Y070Cx/Km59b4rFx04vA5JqpH0AuEgtzLqXrZpaNVGWz9N6VJTa5X2GWO1NYiOwiagOFnk5VQ&#10;roLMFG2sXUj1v0lnbKapMlv/S1zQpSL4tBCd8YB/q5rmS6v6hL+oPmnNsh9hOJa3KHbQgBRl52HO&#10;E/g8LvSnX27zGwAA//8DAFBLAwQUAAYACAAAACEAsLD0UN4AAAAJAQAADwAAAGRycy9kb3ducmV2&#10;LnhtbEyPwU7DMBBE70j8g7VI3KhDVEUmxKmqSghxQTSFuxu7Tlp7HcVOGv6e5QS3He1o5k21Wbxj&#10;sxljH1DC4yoDZrANukcr4fPw8iCAxaRQKxfQSPg2ETb17U2lSh2uuDdzkyyjEIylktClNJScx7Yz&#10;XsVVGAzS7xRGrxLJ0XI9qiuFe8fzLCu4Vz1SQ6cGs+tMe2kmL8G9jfOX3dltnF73RXP+OOXvh1nK&#10;+7tl+wwsmSX9meEXn9ChJqZjmFBH5khngrYkCbkogJEhF+s1sCMdTwJ4XfH/C+ofAAAA//8DAFBL&#10;AQItABQABgAIAAAAIQC2gziS/gAAAOEBAAATAAAAAAAAAAAAAAAAAAAAAABbQ29udGVudF9UeXBl&#10;c10ueG1sUEsBAi0AFAAGAAgAAAAhADj9If/WAAAAlAEAAAsAAAAAAAAAAAAAAAAALwEAAF9yZWxz&#10;Ly5yZWxzUEsBAi0AFAAGAAgAAAAhANy77JO4AQAAugMAAA4AAAAAAAAAAAAAAAAALgIAAGRycy9l&#10;Mm9Eb2MueG1sUEsBAi0AFAAGAAgAAAAhALCw9FD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KHOA KINH TẾ - DU LỊCH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268" w:rsidRPr="00906268" w:rsidTr="00906268">
        <w:trPr>
          <w:trHeight w:val="400"/>
        </w:trPr>
        <w:tc>
          <w:tcPr>
            <w:tcW w:w="13211" w:type="dxa"/>
            <w:gridSpan w:val="5"/>
            <w:vMerge w:val="restart"/>
            <w:tcBorders>
              <w:top w:val="nil"/>
            </w:tcBorders>
            <w:hideMark/>
          </w:tcPr>
          <w:p w:rsidR="00EC7B04" w:rsidRDefault="00EC7B04" w:rsidP="00906268">
            <w:pPr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  <w:p w:rsidR="00EC7B04" w:rsidRDefault="00EC7B04" w:rsidP="00906268">
            <w:pPr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  <w:p w:rsidR="00906268" w:rsidRPr="00906268" w:rsidRDefault="00EF6383" w:rsidP="00906268">
            <w:pPr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  <w:lang w:val="vi-VN"/>
              </w:rPr>
              <w:t>DANH MỤC</w:t>
            </w:r>
            <w:r w:rsidR="00906268" w:rsidRPr="0090626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  <w:t xml:space="preserve"> ĐỀ TÀI  NCKH CÁC CẤP ĐÃ THỰC HIỆN </w:t>
            </w:r>
            <w:r w:rsidR="00906268" w:rsidRPr="0090626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  <w:br/>
              <w:t>CỦA KHOA KINH TẾ - DU LỊCH</w:t>
            </w:r>
          </w:p>
        </w:tc>
      </w:tr>
      <w:tr w:rsidR="00906268" w:rsidRPr="00906268" w:rsidTr="00906268">
        <w:trPr>
          <w:trHeight w:val="400"/>
        </w:trPr>
        <w:tc>
          <w:tcPr>
            <w:tcW w:w="13211" w:type="dxa"/>
            <w:gridSpan w:val="5"/>
            <w:vMerge/>
            <w:hideMark/>
          </w:tcPr>
          <w:p w:rsidR="00906268" w:rsidRPr="00906268" w:rsidRDefault="00906268" w:rsidP="009062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268" w:rsidRPr="00906268" w:rsidTr="00906268">
        <w:trPr>
          <w:trHeight w:val="951"/>
        </w:trPr>
        <w:tc>
          <w:tcPr>
            <w:tcW w:w="746" w:type="dxa"/>
            <w:hideMark/>
          </w:tcPr>
          <w:p w:rsidR="00906268" w:rsidRPr="00906268" w:rsidRDefault="00906268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544" w:type="dxa"/>
            <w:hideMark/>
          </w:tcPr>
          <w:p w:rsidR="00906268" w:rsidRPr="00906268" w:rsidRDefault="00906268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1800" w:type="dxa"/>
            <w:hideMark/>
          </w:tcPr>
          <w:p w:rsidR="00906268" w:rsidRPr="00906268" w:rsidRDefault="00906268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2160" w:type="dxa"/>
            <w:hideMark/>
          </w:tcPr>
          <w:p w:rsidR="00906268" w:rsidRPr="00906268" w:rsidRDefault="00906268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961" w:type="dxa"/>
            <w:hideMark/>
          </w:tcPr>
          <w:p w:rsidR="00906268" w:rsidRPr="00906268" w:rsidRDefault="00906268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332042" w:rsidRPr="00906268" w:rsidTr="00EC7B04">
        <w:trPr>
          <w:trHeight w:val="951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Chuỗi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332042" w:rsidRPr="00906268" w:rsidRDefault="00332042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332042" w:rsidRPr="00906268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020</w:t>
            </w: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961" w:type="dxa"/>
            <w:vMerge w:val="restart"/>
            <w:noWrap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042" w:rsidRPr="00906268" w:rsidTr="00EC7B04">
        <w:trPr>
          <w:trHeight w:val="951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332042" w:rsidRPr="00906268" w:rsidRDefault="00332042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61" w:type="dxa"/>
            <w:vMerge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EC7B04">
        <w:trPr>
          <w:trHeight w:val="1245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2018-2020"</w:t>
            </w:r>
          </w:p>
        </w:tc>
        <w:tc>
          <w:tcPr>
            <w:tcW w:w="1800" w:type="dxa"/>
            <w:hideMark/>
          </w:tcPr>
          <w:p w:rsidR="00332042" w:rsidRPr="00906268" w:rsidRDefault="00332042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160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961" w:type="dxa"/>
            <w:vMerge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EC7B04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rủi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ro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332042" w:rsidRPr="00906268" w:rsidRDefault="00332042" w:rsidP="00906268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61" w:type="dxa"/>
            <w:vMerge/>
            <w:hideMark/>
          </w:tcPr>
          <w:p w:rsidR="00332042" w:rsidRPr="00906268" w:rsidRDefault="00332042" w:rsidP="00906268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906268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32042" w:rsidRPr="00906268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, UBND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F0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800" w:type="dxa"/>
          </w:tcPr>
          <w:p w:rsidR="00332042" w:rsidRPr="00906268" w:rsidRDefault="00332042" w:rsidP="00CD0F0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160" w:type="dxa"/>
          </w:tcPr>
          <w:p w:rsidR="00332042" w:rsidRPr="00CD0F07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2020</w:t>
            </w:r>
          </w:p>
        </w:tc>
        <w:tc>
          <w:tcPr>
            <w:tcW w:w="1961" w:type="dxa"/>
            <w:vMerge/>
          </w:tcPr>
          <w:p w:rsidR="00332042" w:rsidRPr="00906268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906268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32042" w:rsidRPr="00CD0F07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The Current situation of tourism in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Bang National Park from the perspective of sustainable tourism</w:t>
            </w:r>
          </w:p>
        </w:tc>
        <w:tc>
          <w:tcPr>
            <w:tcW w:w="1800" w:type="dxa"/>
          </w:tcPr>
          <w:p w:rsidR="00332042" w:rsidRPr="00CD0F07" w:rsidRDefault="00332042" w:rsidP="00CD0F0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</w:tcPr>
          <w:p w:rsidR="00332042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61" w:type="dxa"/>
            <w:vMerge/>
          </w:tcPr>
          <w:p w:rsidR="00332042" w:rsidRPr="00906268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906268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32042" w:rsidRPr="00332042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800" w:type="dxa"/>
          </w:tcPr>
          <w:p w:rsidR="00332042" w:rsidRPr="00906268" w:rsidRDefault="00332042" w:rsidP="00CD0F0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</w:tcPr>
          <w:p w:rsidR="00332042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2015</w:t>
            </w:r>
          </w:p>
        </w:tc>
        <w:tc>
          <w:tcPr>
            <w:tcW w:w="1961" w:type="dxa"/>
            <w:vMerge/>
          </w:tcPr>
          <w:p w:rsidR="00332042" w:rsidRPr="00906268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906268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32042" w:rsidRPr="00332042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gò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đồi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800" w:type="dxa"/>
          </w:tcPr>
          <w:p w:rsidR="00332042" w:rsidRPr="00CD0F07" w:rsidRDefault="00332042" w:rsidP="00CD0F0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viên đề tài cấp Bộ</w:t>
            </w:r>
          </w:p>
        </w:tc>
        <w:tc>
          <w:tcPr>
            <w:tcW w:w="2160" w:type="dxa"/>
          </w:tcPr>
          <w:p w:rsidR="00332042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2014</w:t>
            </w:r>
          </w:p>
        </w:tc>
        <w:tc>
          <w:tcPr>
            <w:tcW w:w="1961" w:type="dxa"/>
            <w:vMerge/>
          </w:tcPr>
          <w:p w:rsidR="00332042" w:rsidRPr="00906268" w:rsidRDefault="00332042" w:rsidP="00CD0F07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906268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32042" w:rsidRPr="00332042" w:rsidRDefault="00332042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trại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ở 2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800" w:type="dxa"/>
          </w:tcPr>
          <w:p w:rsidR="00332042" w:rsidRPr="00CD0F07" w:rsidRDefault="00332042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viên đề tài cấp Tỉnh</w:t>
            </w:r>
          </w:p>
        </w:tc>
        <w:tc>
          <w:tcPr>
            <w:tcW w:w="2160" w:type="dxa"/>
          </w:tcPr>
          <w:p w:rsidR="00332042" w:rsidRDefault="00332042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2011</w:t>
            </w:r>
          </w:p>
        </w:tc>
        <w:tc>
          <w:tcPr>
            <w:tcW w:w="1961" w:type="dxa"/>
            <w:vMerge/>
          </w:tcPr>
          <w:p w:rsidR="00332042" w:rsidRPr="00906268" w:rsidRDefault="00332042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42" w:rsidRPr="00906268" w:rsidTr="00906268">
        <w:trPr>
          <w:trHeight w:val="1326"/>
        </w:trPr>
        <w:tc>
          <w:tcPr>
            <w:tcW w:w="746" w:type="dxa"/>
          </w:tcPr>
          <w:p w:rsidR="00332042" w:rsidRPr="00EC7B04" w:rsidRDefault="00332042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32042" w:rsidRPr="00332042" w:rsidRDefault="00332042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đồi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Nhị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32042">
              <w:rPr>
                <w:rFonts w:ascii="Times New Roman" w:hAnsi="Times New Roman" w:cs="Times New Roman"/>
                <w:sz w:val="28"/>
                <w:szCs w:val="28"/>
              </w:rPr>
              <w:t xml:space="preserve"> 2022.</w:t>
            </w:r>
          </w:p>
        </w:tc>
        <w:tc>
          <w:tcPr>
            <w:tcW w:w="1800" w:type="dxa"/>
          </w:tcPr>
          <w:p w:rsidR="00332042" w:rsidRDefault="00332042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0D9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160" w:type="dxa"/>
          </w:tcPr>
          <w:p w:rsidR="00332042" w:rsidRDefault="00332042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961" w:type="dxa"/>
            <w:vMerge/>
          </w:tcPr>
          <w:p w:rsidR="00332042" w:rsidRPr="00906268" w:rsidRDefault="00332042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94" w:rsidRPr="00906268" w:rsidTr="00EC7B04">
        <w:trPr>
          <w:trHeight w:val="1326"/>
        </w:trPr>
        <w:tc>
          <w:tcPr>
            <w:tcW w:w="746" w:type="dxa"/>
          </w:tcPr>
          <w:p w:rsidR="00947894" w:rsidRPr="00EC7B04" w:rsidRDefault="00947894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chênh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lệch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yết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khoán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Nam"</w:t>
            </w:r>
          </w:p>
        </w:tc>
        <w:tc>
          <w:tcPr>
            <w:tcW w:w="1800" w:type="dxa"/>
            <w:hideMark/>
          </w:tcPr>
          <w:p w:rsidR="00947894" w:rsidRPr="00906268" w:rsidRDefault="00947894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61" w:type="dxa"/>
            <w:noWrap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</w:p>
        </w:tc>
      </w:tr>
      <w:tr w:rsidR="00947894" w:rsidRPr="00906268" w:rsidTr="00EC7B04">
        <w:trPr>
          <w:trHeight w:val="1326"/>
        </w:trPr>
        <w:tc>
          <w:tcPr>
            <w:tcW w:w="746" w:type="dxa"/>
          </w:tcPr>
          <w:p w:rsidR="00947894" w:rsidRPr="00EC7B04" w:rsidRDefault="00947894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logistics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hideMark/>
          </w:tcPr>
          <w:p w:rsidR="00947894" w:rsidRPr="00906268" w:rsidRDefault="00947894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160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961" w:type="dxa"/>
            <w:vMerge w:val="restart"/>
            <w:noWrap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</w:tr>
      <w:tr w:rsidR="00947894" w:rsidRPr="00906268" w:rsidTr="00EC7B04">
        <w:trPr>
          <w:trHeight w:val="1088"/>
        </w:trPr>
        <w:tc>
          <w:tcPr>
            <w:tcW w:w="746" w:type="dxa"/>
          </w:tcPr>
          <w:p w:rsidR="00947894" w:rsidRPr="00EC7B04" w:rsidRDefault="00947894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Bàng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947894" w:rsidRPr="00906268" w:rsidRDefault="00947894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61" w:type="dxa"/>
            <w:vMerge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94" w:rsidRPr="00906268" w:rsidTr="00EC7B04">
        <w:trPr>
          <w:trHeight w:val="881"/>
        </w:trPr>
        <w:tc>
          <w:tcPr>
            <w:tcW w:w="746" w:type="dxa"/>
          </w:tcPr>
          <w:p w:rsidR="00947894" w:rsidRPr="00EC7B04" w:rsidRDefault="00947894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Pencils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 (2019-2020)</w:t>
            </w:r>
          </w:p>
        </w:tc>
        <w:tc>
          <w:tcPr>
            <w:tcW w:w="1800" w:type="dxa"/>
            <w:hideMark/>
          </w:tcPr>
          <w:p w:rsidR="00947894" w:rsidRPr="00906268" w:rsidRDefault="00947894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61" w:type="dxa"/>
            <w:vMerge w:val="restart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ThS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</w:tr>
      <w:tr w:rsidR="00947894" w:rsidRPr="00906268" w:rsidTr="00EC7B04">
        <w:trPr>
          <w:trHeight w:val="1508"/>
        </w:trPr>
        <w:tc>
          <w:tcPr>
            <w:tcW w:w="746" w:type="dxa"/>
          </w:tcPr>
          <w:p w:rsidR="00947894" w:rsidRPr="00EC7B04" w:rsidRDefault="00947894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947894" w:rsidRPr="00906268" w:rsidRDefault="00947894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61" w:type="dxa"/>
            <w:vMerge/>
            <w:hideMark/>
          </w:tcPr>
          <w:p w:rsidR="00947894" w:rsidRPr="00906268" w:rsidRDefault="00947894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83" w:rsidRPr="00906268" w:rsidTr="00EC7B04">
        <w:trPr>
          <w:trHeight w:val="989"/>
        </w:trPr>
        <w:tc>
          <w:tcPr>
            <w:tcW w:w="746" w:type="dxa"/>
          </w:tcPr>
          <w:p w:rsidR="00EF6383" w:rsidRPr="00EC7B04" w:rsidRDefault="00EF6383" w:rsidP="00EC7B04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EF6383" w:rsidRPr="00906268" w:rsidRDefault="00EF6383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(SMTEs)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EF6383" w:rsidRPr="00906268" w:rsidRDefault="00EF6383" w:rsidP="00947894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EF6383" w:rsidRPr="00906268" w:rsidRDefault="00EF6383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61" w:type="dxa"/>
            <w:vMerge w:val="restart"/>
            <w:noWrap/>
            <w:hideMark/>
          </w:tcPr>
          <w:p w:rsidR="00EF6383" w:rsidRPr="00906268" w:rsidRDefault="00EF6383" w:rsidP="00947894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</w:tc>
      </w:tr>
      <w:tr w:rsidR="00EF6383" w:rsidRPr="00906268" w:rsidTr="00992A78">
        <w:trPr>
          <w:trHeight w:val="989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Ứng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Leontief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61" w:type="dxa"/>
            <w:vMerge/>
            <w:noWrap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83" w:rsidRPr="00906268" w:rsidTr="00EC7B04">
        <w:trPr>
          <w:trHeight w:val="1714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(2018-2019)</w:t>
            </w:r>
          </w:p>
        </w:tc>
        <w:tc>
          <w:tcPr>
            <w:tcW w:w="1800" w:type="dxa"/>
            <w:hideMark/>
          </w:tcPr>
          <w:p w:rsidR="00EF6383" w:rsidRPr="00906268" w:rsidRDefault="00EF6383" w:rsidP="00EF6383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61" w:type="dxa"/>
            <w:noWrap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ThS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383" w:rsidRPr="00906268" w:rsidTr="00EC7B04">
        <w:trPr>
          <w:trHeight w:val="1286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camel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:rsidR="00EF6383" w:rsidRPr="00906268" w:rsidRDefault="00EF6383" w:rsidP="00EF6383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KHCN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60" w:type="dxa"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61" w:type="dxa"/>
            <w:noWrap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Phươn</w:t>
            </w:r>
            <w:r w:rsidRPr="00906268">
              <w:rPr>
                <w:rFonts w:ascii="Times New Roman" w:hAnsi="Times New Roman" w:cs="Times New Roman"/>
                <w:i/>
                <w:sz w:val="28"/>
                <w:szCs w:val="28"/>
              </w:rPr>
              <w:t>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383" w:rsidRPr="00906268" w:rsidTr="00EC7B04">
        <w:trPr>
          <w:trHeight w:val="1062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Logistic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</w:p>
        </w:tc>
        <w:tc>
          <w:tcPr>
            <w:tcW w:w="1800" w:type="dxa"/>
            <w:noWrap/>
            <w:hideMark/>
          </w:tcPr>
          <w:p w:rsidR="00EF6383" w:rsidRPr="00906268" w:rsidRDefault="00EF6383" w:rsidP="00EF6383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160" w:type="dxa"/>
            <w:noWrap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61" w:type="dxa"/>
            <w:vMerge w:val="restart"/>
            <w:noWrap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TS. Phan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</w:tr>
      <w:tr w:rsidR="00EF6383" w:rsidRPr="00906268" w:rsidTr="00EC7B04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gò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đồi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800" w:type="dxa"/>
            <w:hideMark/>
          </w:tcPr>
          <w:p w:rsidR="00EF6383" w:rsidRPr="00906268" w:rsidRDefault="00EF6383" w:rsidP="00EF6383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160" w:type="dxa"/>
            <w:noWrap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61" w:type="dxa"/>
            <w:vMerge/>
            <w:hideMark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83" w:rsidRPr="00906268" w:rsidTr="004D0A8A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bottom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Đăk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Lăk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2020-2030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Xám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(Grey forecasting model). 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noWrap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61" w:type="dxa"/>
            <w:vMerge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83" w:rsidRPr="00906268" w:rsidTr="004D0A8A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bottom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DGM (1,1)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ĐHQB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noWrap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2020-2022</w:t>
            </w:r>
          </w:p>
        </w:tc>
        <w:tc>
          <w:tcPr>
            <w:tcW w:w="1961" w:type="dxa"/>
            <w:vMerge/>
          </w:tcPr>
          <w:p w:rsidR="00EF6383" w:rsidRPr="00906268" w:rsidRDefault="00EF6383" w:rsidP="00EF638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83" w:rsidRPr="00906268" w:rsidTr="00900A0E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lường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noWrap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61" w:type="dxa"/>
            <w:vAlign w:val="center"/>
          </w:tcPr>
          <w:p w:rsidR="00EF6383" w:rsidRPr="00121C6B" w:rsidRDefault="00EF6383" w:rsidP="00EF6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Th.S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383" w:rsidRPr="00906268" w:rsidTr="00900A0E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online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noWrap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61" w:type="dxa"/>
            <w:vAlign w:val="center"/>
          </w:tcPr>
          <w:p w:rsidR="00EF6383" w:rsidRPr="00121C6B" w:rsidRDefault="00EF6383" w:rsidP="00EF6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Th.S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383" w:rsidRPr="00906268" w:rsidTr="00900A0E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noWrap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61" w:type="dxa"/>
            <w:vAlign w:val="center"/>
          </w:tcPr>
          <w:p w:rsidR="00EF6383" w:rsidRPr="00121C6B" w:rsidRDefault="00EF6383" w:rsidP="00EF6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Th.S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HoàngThị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383" w:rsidRPr="00906268" w:rsidTr="00900A0E">
        <w:trPr>
          <w:trHeight w:val="1085"/>
        </w:trPr>
        <w:tc>
          <w:tcPr>
            <w:tcW w:w="746" w:type="dxa"/>
          </w:tcPr>
          <w:p w:rsidR="00EF6383" w:rsidRPr="00EC7B04" w:rsidRDefault="00EF6383" w:rsidP="00EF6383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EF6383" w:rsidRPr="00121C6B" w:rsidRDefault="00EF6383" w:rsidP="00EF6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nợ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đọng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noWrap/>
            <w:vAlign w:val="center"/>
          </w:tcPr>
          <w:p w:rsidR="00EF6383" w:rsidRPr="00121C6B" w:rsidRDefault="00EF6383" w:rsidP="00EF6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961" w:type="dxa"/>
            <w:vAlign w:val="center"/>
          </w:tcPr>
          <w:p w:rsidR="00EF6383" w:rsidRPr="00121C6B" w:rsidRDefault="00EF6383" w:rsidP="00EF6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TS.Nguyễn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>Hảo</w:t>
            </w:r>
            <w:proofErr w:type="spellEnd"/>
            <w:r w:rsidRPr="0012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7FAE" w:rsidRDefault="00E77FAE" w:rsidP="00906268">
      <w:pPr>
        <w:spacing w:after="0" w:line="340" w:lineRule="exact"/>
        <w:jc w:val="both"/>
      </w:pPr>
      <w:bookmarkStart w:id="0" w:name="_GoBack"/>
      <w:bookmarkEnd w:id="0"/>
    </w:p>
    <w:sectPr w:rsidR="00E77FAE" w:rsidSect="00906268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881"/>
    <w:multiLevelType w:val="hybridMultilevel"/>
    <w:tmpl w:val="2814F854"/>
    <w:lvl w:ilvl="0" w:tplc="45009BE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68"/>
    <w:rsid w:val="001D67EA"/>
    <w:rsid w:val="00332042"/>
    <w:rsid w:val="00906268"/>
    <w:rsid w:val="00947894"/>
    <w:rsid w:val="00AA5540"/>
    <w:rsid w:val="00C95056"/>
    <w:rsid w:val="00CD0F07"/>
    <w:rsid w:val="00E77FAE"/>
    <w:rsid w:val="00EC7B04"/>
    <w:rsid w:val="00E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9FB3"/>
  <w15:chartTrackingRefBased/>
  <w15:docId w15:val="{68378DA1-0816-4C7E-967C-70878CF3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6270-654D-418E-B916-599B49A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2023-04-04T00:41:00Z</dcterms:created>
  <dcterms:modified xsi:type="dcterms:W3CDTF">2023-04-04T00:49:00Z</dcterms:modified>
</cp:coreProperties>
</file>